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B6E0" w14:textId="77777777" w:rsidR="00652C6E" w:rsidRDefault="00652C6E" w:rsidP="00652C6E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0B2E505F" wp14:editId="0ACE0C81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E573D" w14:textId="77777777" w:rsidR="00652C6E" w:rsidRDefault="00652C6E" w:rsidP="00652C6E"/>
    <w:p w14:paraId="57258AEA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564F0A7C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3152268B" w14:textId="77777777" w:rsidR="00652C6E" w:rsidRPr="0039685D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79D60C3" w14:textId="77777777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2B95F082" w14:textId="2E83535A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</w:t>
      </w:r>
      <w:r w:rsidR="00D668F6">
        <w:rPr>
          <w:rFonts w:ascii="Sylfaen" w:hAnsi="Sylfaen"/>
          <w:b/>
          <w:bCs/>
          <w:sz w:val="36"/>
          <w:szCs w:val="36"/>
        </w:rPr>
        <w:t>20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>ბიუჯეტის</w:t>
      </w:r>
      <w:r w:rsidR="006B79C8">
        <w:rPr>
          <w:rFonts w:ascii="Sylfaen" w:hAnsi="Sylfaen"/>
          <w:b/>
          <w:bCs/>
          <w:sz w:val="36"/>
          <w:szCs w:val="36"/>
        </w:rPr>
        <w:t xml:space="preserve"> </w:t>
      </w:r>
      <w:r w:rsidR="00E10432">
        <w:rPr>
          <w:rFonts w:ascii="Sylfaen" w:hAnsi="Sylfaen"/>
          <w:b/>
          <w:bCs/>
          <w:sz w:val="36"/>
          <w:szCs w:val="36"/>
        </w:rPr>
        <w:t>9</w:t>
      </w:r>
      <w:r w:rsidR="00374840">
        <w:rPr>
          <w:rFonts w:ascii="Sylfaen" w:hAnsi="Sylfaen"/>
          <w:b/>
          <w:bCs/>
          <w:sz w:val="36"/>
          <w:szCs w:val="36"/>
        </w:rPr>
        <w:t xml:space="preserve"> </w:t>
      </w:r>
      <w:r w:rsidR="00374840">
        <w:rPr>
          <w:rFonts w:ascii="Sylfaen" w:hAnsi="Sylfaen"/>
          <w:b/>
          <w:bCs/>
          <w:sz w:val="36"/>
          <w:szCs w:val="36"/>
          <w:lang w:val="ka-GE"/>
        </w:rPr>
        <w:t>თვ</w:t>
      </w:r>
      <w:r w:rsidR="006B79C8" w:rsidRPr="006B79C8">
        <w:rPr>
          <w:rFonts w:ascii="Sylfaen" w:hAnsi="Sylfaen"/>
          <w:b/>
          <w:bCs/>
          <w:sz w:val="36"/>
          <w:szCs w:val="36"/>
          <w:lang w:val="ka-GE"/>
        </w:rPr>
        <w:t>ის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14:paraId="323872A2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3A928EAA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377D31F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6EB0B0D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213D3CE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B156C3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75A30E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A132BB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C80F9DA" w14:textId="77777777" w:rsidR="00652C6E" w:rsidRPr="00F84091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1AFDE907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9E17A4D" w14:textId="2CBB726D" w:rsidR="00652C6E" w:rsidRPr="00D668F6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>
        <w:rPr>
          <w:rFonts w:ascii="Sylfaen" w:hAnsi="Sylfaen"/>
          <w:b/>
          <w:bCs/>
          <w:sz w:val="28"/>
          <w:szCs w:val="28"/>
        </w:rPr>
        <w:t>20</w:t>
      </w:r>
    </w:p>
    <w:p w14:paraId="7A1D9DC2" w14:textId="3CC96100" w:rsidR="00652C6E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149B0875" w14:textId="77777777" w:rsidR="00FF2843" w:rsidRDefault="00FF2843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bookmarkStart w:id="0" w:name="_GoBack"/>
      <w:bookmarkEnd w:id="0"/>
    </w:p>
    <w:p w14:paraId="5D3A07BF" w14:textId="2A0BD1E0"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668E9771" w14:textId="77777777" w:rsidR="001322B1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0754C9F5" w14:textId="77777777" w:rsidR="00D71170" w:rsidRPr="00185F45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5AD471CD" w14:textId="263712E7" w:rsidR="007E6BC3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="00DC01FE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</w:t>
      </w:r>
      <w:r w:rsidR="00E10432">
        <w:rPr>
          <w:rFonts w:ascii="Sylfaen" w:hAnsi="Sylfaen" w:cs="Sylfaen"/>
          <w:b/>
          <w:noProof/>
          <w:sz w:val="28"/>
          <w:szCs w:val="28"/>
          <w:lang w:val="pt-BR"/>
        </w:rPr>
        <w:t xml:space="preserve">9 </w:t>
      </w:r>
      <w:r w:rsidR="00E10432">
        <w:rPr>
          <w:rFonts w:ascii="Sylfaen" w:hAnsi="Sylfaen" w:cs="Sylfaen"/>
          <w:b/>
          <w:noProof/>
          <w:sz w:val="28"/>
          <w:szCs w:val="28"/>
          <w:lang w:val="ka-GE"/>
        </w:rPr>
        <w:t>თვის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საქართველოს სახელმწიფო ბიუჯეტის შესრულების მაჩვენებლები</w:t>
      </w:r>
    </w:p>
    <w:p w14:paraId="231EAF59" w14:textId="77777777"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6B39B60E" w14:textId="63065633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185F45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763"/>
        <w:gridCol w:w="1744"/>
        <w:gridCol w:w="1648"/>
        <w:gridCol w:w="1545"/>
      </w:tblGrid>
      <w:tr w:rsidR="00E10432" w14:paraId="6AD352E6" w14:textId="77777777" w:rsidTr="00E10432">
        <w:trPr>
          <w:trHeight w:val="288"/>
          <w:tblHeader/>
        </w:trPr>
        <w:tc>
          <w:tcPr>
            <w:tcW w:w="2693" w:type="pct"/>
            <w:shd w:val="clear" w:color="auto" w:fill="auto"/>
            <w:vAlign w:val="center"/>
            <w:hideMark/>
          </w:tcPr>
          <w:p w14:paraId="7E02779A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FB3536B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D940F1A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414537B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E10432" w14:paraId="537CC5CC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48202AC1" w14:textId="77777777" w:rsidR="00E10432" w:rsidRDefault="00E10432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51508DB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7,157,012.0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3016BC2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7,638,596.4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488FE624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106.7%</w:t>
            </w:r>
          </w:p>
        </w:tc>
      </w:tr>
      <w:tr w:rsidR="00E10432" w14:paraId="3FB63E3C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74BD1153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44EA4C7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6,577,378.7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8141114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6,973,576.6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4DFFB3E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106.0%</w:t>
            </w:r>
          </w:p>
        </w:tc>
      </w:tr>
      <w:tr w:rsidR="00E10432" w14:paraId="43EFC61A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4D7E4CED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15A04BB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73,876.5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5742B3C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121,564.9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4AB8A92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164.6%</w:t>
            </w:r>
          </w:p>
        </w:tc>
      </w:tr>
      <w:tr w:rsidR="00E10432" w14:paraId="311F4536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608F9CB9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07C57C7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505,756.8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D40165B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543,454.9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EA66937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107.5%</w:t>
            </w:r>
          </w:p>
        </w:tc>
      </w:tr>
      <w:tr w:rsidR="00E10432" w14:paraId="1D6AC0F1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17AF077B" w14:textId="77777777" w:rsidR="00E10432" w:rsidRDefault="00E10432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0BEAB83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9,415,373.6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DC6926A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8,777,611.4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65EBAD78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93.2%</w:t>
            </w:r>
          </w:p>
        </w:tc>
      </w:tr>
      <w:tr w:rsidR="00E10432" w14:paraId="0A5583A9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2378AA0E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720A005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1,165,941.2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9A7BDD9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1,125,725.1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632B2C76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96.6%</w:t>
            </w:r>
          </w:p>
        </w:tc>
      </w:tr>
      <w:tr w:rsidR="00E10432" w14:paraId="6E6B13E1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0DA8A73D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A249585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1,159,649.3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888D84D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1,033,500.9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4DEB24E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89.1%</w:t>
            </w:r>
          </w:p>
        </w:tc>
      </w:tr>
      <w:tr w:rsidR="00E10432" w14:paraId="53A3FA31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1CE68BC3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38C7667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576,503.5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EA740F5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538,485.2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173D44B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93.4%</w:t>
            </w:r>
          </w:p>
        </w:tc>
      </w:tr>
      <w:tr w:rsidR="00E10432" w14:paraId="20606378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54C20570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257849D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462,373.8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287363A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383,215.7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8383BF0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82.9%</w:t>
            </w:r>
          </w:p>
        </w:tc>
      </w:tr>
      <w:tr w:rsidR="00E10432" w14:paraId="1632DE1B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2CD4C10C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8FEA3A7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665,350.6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BD923A5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541,380.7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4395306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81.4%</w:t>
            </w:r>
          </w:p>
        </w:tc>
      </w:tr>
      <w:tr w:rsidR="00E10432" w14:paraId="6F0066C4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387F6BE1" w14:textId="77777777" w:rsidR="00E10432" w:rsidRDefault="00E10432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მ.შ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კაპიტალური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B5A67D0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421,868.4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64D5E92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377,752.6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131CFE0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89.5%</w:t>
            </w:r>
          </w:p>
        </w:tc>
      </w:tr>
      <w:tr w:rsidR="00E10432" w14:paraId="3816146C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7D73555A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C9E5581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4,192,533.1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14320C9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4,030,312.0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74DA094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E10432" w14:paraId="6F0B8B73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421A5817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7B23091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1,193,022.1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9FDE5B8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1,124,991.8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C62A2C6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94.3%</w:t>
            </w:r>
          </w:p>
        </w:tc>
      </w:tr>
      <w:tr w:rsidR="00E10432" w14:paraId="138EA7DB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28F1AEFE" w14:textId="77777777" w:rsidR="00E10432" w:rsidRDefault="00E10432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მ.შ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კაპიტალური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ტრანსფერები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რომელიც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სხვაგან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კლასიფიცირებული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AD3159F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313,658.5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EF15C4F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282,012.1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C6F43F3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89.9%</w:t>
            </w:r>
          </w:p>
        </w:tc>
      </w:tr>
      <w:tr w:rsidR="00E10432" w14:paraId="529805DF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62CA4995" w14:textId="77777777" w:rsidR="00E10432" w:rsidRDefault="00E10432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საოპერაციო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575CED8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-2,258,361.6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38CF5A9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-1,139,015.0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1B908EC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50.4%</w:t>
            </w:r>
          </w:p>
        </w:tc>
      </w:tr>
      <w:tr w:rsidR="00E10432" w14:paraId="53477F2F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2D26286F" w14:textId="77777777" w:rsidR="00E10432" w:rsidRDefault="00E10432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BE9FDCC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1,461,216.5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ABA3BEC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1,399,434.2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6599AB24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95.8%</w:t>
            </w:r>
          </w:p>
        </w:tc>
      </w:tr>
      <w:tr w:rsidR="00E10432" w14:paraId="5FC2EFE9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78E7189E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4A870D7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1,534,169.8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CFDC34B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1,479,156.8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E39F043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96.4%</w:t>
            </w:r>
          </w:p>
        </w:tc>
      </w:tr>
      <w:tr w:rsidR="00E10432" w14:paraId="4BB503E0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547AB8FA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31727EA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72,953.3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A62EE5C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79,722.7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05F1BAA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109.3%</w:t>
            </w:r>
          </w:p>
        </w:tc>
      </w:tr>
      <w:tr w:rsidR="00E10432" w14:paraId="50F29AE6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7A628E46" w14:textId="77777777" w:rsidR="00E10432" w:rsidRDefault="00E10432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მთლიანი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1F914D5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-3,719,578.0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BA0FD88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-2,538,449.2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A2B0F31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68.2%</w:t>
            </w:r>
          </w:p>
        </w:tc>
      </w:tr>
      <w:tr w:rsidR="00E10432" w14:paraId="4670D6FF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062D4A11" w14:textId="77777777" w:rsidR="00E10432" w:rsidRDefault="00E10432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ფინასური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27F1FDB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714,331.2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1F5D872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1,708,417.7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F7D569F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239.2%</w:t>
            </w:r>
          </w:p>
        </w:tc>
      </w:tr>
      <w:tr w:rsidR="00E10432" w14:paraId="544A1F16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71F4C82E" w14:textId="77777777" w:rsidR="00E10432" w:rsidRDefault="00E10432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6B07ADB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771,605.7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B65FDFF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1,823,258.6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2CE02B2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236.3%</w:t>
            </w:r>
          </w:p>
        </w:tc>
      </w:tr>
      <w:tr w:rsidR="00E10432" w14:paraId="63FDD83B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3A976037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C52F3EC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556,447.5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5648BAF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1,587,625.0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D4FA872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285.3%</w:t>
            </w:r>
          </w:p>
        </w:tc>
      </w:tr>
      <w:tr w:rsidR="00E10432" w14:paraId="6ADB64E9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1C5D3FD4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0666D2D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215,158.2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47723ED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235,633.6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9AA0700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109.5%</w:t>
            </w:r>
          </w:p>
        </w:tc>
      </w:tr>
      <w:tr w:rsidR="00E10432" w14:paraId="43A1310C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7DBB3DA5" w14:textId="77777777" w:rsidR="00E10432" w:rsidRDefault="00E10432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338DEA7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57,274.5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7C25BF4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114,840.9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464E445B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200.5%</w:t>
            </w:r>
          </w:p>
        </w:tc>
      </w:tr>
      <w:tr w:rsidR="00E10432" w14:paraId="0C9FA7C0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19E378F8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6A4933E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57,274.5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2B18080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114,833.8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E9B7335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200.5%</w:t>
            </w:r>
          </w:p>
        </w:tc>
      </w:tr>
      <w:tr w:rsidR="00E10432" w14:paraId="5C215D30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63F32F03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კაპიტალი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35F8420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25C60AC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CF55DEF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E10432" w14:paraId="1BDCBFE4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0700D03C" w14:textId="77777777" w:rsidR="00E10432" w:rsidRDefault="00E10432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5414073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4,433,909.3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3524D85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4,246,866.9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774EE0A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95.8%</w:t>
            </w:r>
          </w:p>
        </w:tc>
      </w:tr>
      <w:tr w:rsidR="00E10432" w14:paraId="2992F160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7EBA4186" w14:textId="77777777" w:rsidR="00E10432" w:rsidRDefault="00E10432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A70BE9F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5,216,620.7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24DA6DC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4,960,511.5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807429A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95.1%</w:t>
            </w:r>
          </w:p>
        </w:tc>
      </w:tr>
      <w:tr w:rsidR="00E10432" w14:paraId="03539A1D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0542CB24" w14:textId="77777777" w:rsidR="00E10432" w:rsidRDefault="00E10432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E77E0B1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1,585,000.0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7F3E47C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1,590,125.3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2911807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100.3%</w:t>
            </w:r>
          </w:p>
        </w:tc>
      </w:tr>
      <w:tr w:rsidR="00E10432" w14:paraId="025DA480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394C0EA5" w14:textId="77777777" w:rsidR="00E10432" w:rsidRDefault="00E10432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5DAAE0E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1,585,000.0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1541EF6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1,590,125.3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3348EF9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100.3%</w:t>
            </w:r>
          </w:p>
        </w:tc>
      </w:tr>
      <w:tr w:rsidR="00E10432" w14:paraId="3944D182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5D7C8542" w14:textId="77777777" w:rsidR="00E10432" w:rsidRDefault="00E10432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D112F1E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3,631,620.7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74938DC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3,370,386.2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F173B24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92.8%</w:t>
            </w:r>
          </w:p>
        </w:tc>
      </w:tr>
      <w:tr w:rsidR="00E10432" w14:paraId="15663ECF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202644C4" w14:textId="77777777" w:rsidR="00E10432" w:rsidRDefault="00E10432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728D330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3,631,620.7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43ADD48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3,370,386.2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148154F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92.8%</w:t>
            </w:r>
          </w:p>
        </w:tc>
      </w:tr>
      <w:tr w:rsidR="00E10432" w14:paraId="12E57328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0E844D24" w14:textId="77777777" w:rsidR="00E10432" w:rsidRDefault="00E10432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4900B90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782,711.4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518509B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713,644.6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0D9141D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91.2%</w:t>
            </w:r>
          </w:p>
        </w:tc>
      </w:tr>
      <w:tr w:rsidR="00E10432" w14:paraId="0ACBCEE8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077F781D" w14:textId="77777777" w:rsidR="00E10432" w:rsidRDefault="00E10432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02F94F3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34,129.1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C7212C1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34,129.1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3F466635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E10432" w14:paraId="3F7E04F3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47CD50FB" w14:textId="77777777" w:rsidR="00E10432" w:rsidRDefault="00E10432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AA87797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32,000.0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C009D7F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32,000.0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5EA6C91B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E10432" w14:paraId="0449D4D9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6090A695" w14:textId="77777777" w:rsidR="00E10432" w:rsidRDefault="00E10432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lastRenderedPageBreak/>
              <w:t>სესხები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85386D6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2,129.1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7687804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2,129.1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6DD0F4BC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E10432" w14:paraId="2F9BFB73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1F7748C0" w14:textId="77777777" w:rsidR="00E10432" w:rsidRDefault="00E10432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E2E9EE7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748,582.3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D92E3C1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679,515.5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73822CE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90.8%</w:t>
            </w:r>
          </w:p>
        </w:tc>
      </w:tr>
      <w:tr w:rsidR="00E10432" w14:paraId="0151462C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0E0A309D" w14:textId="77777777" w:rsidR="00E10432" w:rsidRDefault="00E10432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7F7B59A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748,000.0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4FEA21F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679,515.5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79E5C8D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90.8%</w:t>
            </w:r>
          </w:p>
        </w:tc>
      </w:tr>
      <w:tr w:rsidR="00E10432" w14:paraId="7223E124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25FDBB43" w14:textId="77777777" w:rsidR="00E10432" w:rsidRDefault="00E10432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კრედიტორული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დავალიანებები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205B271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582.3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F9B4165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0228CBEC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E10432" w14:paraId="7236EE4D" w14:textId="77777777" w:rsidTr="00E10432">
        <w:trPr>
          <w:trHeight w:val="288"/>
        </w:trPr>
        <w:tc>
          <w:tcPr>
            <w:tcW w:w="2693" w:type="pct"/>
            <w:shd w:val="clear" w:color="auto" w:fill="auto"/>
            <w:vAlign w:val="center"/>
            <w:hideMark/>
          </w:tcPr>
          <w:p w14:paraId="65811C10" w14:textId="77777777" w:rsidR="00E10432" w:rsidRDefault="00E10432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ბალანსი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51E77A4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CE0A2A6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0CC8C80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14:paraId="1D6D23D0" w14:textId="77777777" w:rsidR="00F23336" w:rsidRDefault="00F23336" w:rsidP="00652C6E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ka-GE"/>
        </w:rPr>
      </w:pPr>
    </w:p>
    <w:p w14:paraId="7F039237" w14:textId="70334B28" w:rsidR="001D45AF" w:rsidRDefault="001D45AF" w:rsidP="001D45AF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  <w:r w:rsidRPr="00A30550">
        <w:rPr>
          <w:rFonts w:ascii="Sylfaen" w:hAnsi="Sylfaen"/>
          <w:i/>
          <w:noProof/>
          <w:sz w:val="18"/>
          <w:szCs w:val="18"/>
          <w:lang w:val="pt-BR"/>
        </w:rPr>
        <w:t>*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 xml:space="preserve">შენიშვნა: საანგარიშო პერიოდში ფასიანი ქაღალდების რეალიზაციით მიღებულმა თანხამ </w:t>
      </w:r>
      <w:r w:rsidR="00E10432" w:rsidRPr="00E10432">
        <w:rPr>
          <w:rFonts w:ascii="Sylfaen" w:hAnsi="Sylfaen"/>
          <w:i/>
          <w:noProof/>
          <w:sz w:val="18"/>
          <w:szCs w:val="18"/>
          <w:lang w:val="pt-BR"/>
        </w:rPr>
        <w:t>2,829,564.1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 xml:space="preserve">ათასი ლარი, ხოლო ძირითადი თანხის დაფარვამ </w:t>
      </w:r>
      <w:r w:rsidR="00E10432" w:rsidRPr="00E10432">
        <w:rPr>
          <w:rFonts w:ascii="Sylfaen" w:hAnsi="Sylfaen"/>
          <w:i/>
          <w:noProof/>
          <w:sz w:val="18"/>
          <w:szCs w:val="18"/>
          <w:lang w:val="pt-BR"/>
        </w:rPr>
        <w:t xml:space="preserve">1,239,438.8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>ათასი ლარი შეადგინა. შესაბამისად, სახაზინო ვალდებულებების და სახაზინო ობლიგაციების გამოშვების შედეგად, საშინაო ვალდებულების</w:t>
      </w:r>
      <w:r w:rsidRPr="00A30550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 xml:space="preserve">ზრდამ შეადგინა  </w:t>
      </w:r>
      <w:r w:rsidR="00E10432" w:rsidRPr="00E10432">
        <w:rPr>
          <w:rFonts w:ascii="Sylfaen" w:hAnsi="Sylfaen"/>
          <w:i/>
          <w:noProof/>
          <w:sz w:val="18"/>
          <w:szCs w:val="18"/>
          <w:lang w:val="pt-BR"/>
        </w:rPr>
        <w:t xml:space="preserve">1,590,125.3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>ათასი ლარი.</w:t>
      </w:r>
    </w:p>
    <w:p w14:paraId="470D35E6" w14:textId="77777777" w:rsidR="00F23336" w:rsidRDefault="00F23336" w:rsidP="00652C6E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ka-GE"/>
        </w:rPr>
      </w:pPr>
    </w:p>
    <w:p w14:paraId="1883DF54" w14:textId="77777777" w:rsidR="00636269" w:rsidRDefault="00636269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161B54F0" w14:textId="77777777" w:rsidR="00885245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3196303D" w14:textId="791EDF76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765"/>
        <w:gridCol w:w="1744"/>
        <w:gridCol w:w="1648"/>
        <w:gridCol w:w="1543"/>
      </w:tblGrid>
      <w:tr w:rsidR="00E10432" w14:paraId="7AEAD3AA" w14:textId="77777777" w:rsidTr="00E10432">
        <w:trPr>
          <w:trHeight w:val="288"/>
          <w:tblHeader/>
        </w:trPr>
        <w:tc>
          <w:tcPr>
            <w:tcW w:w="2694" w:type="pct"/>
            <w:shd w:val="clear" w:color="auto" w:fill="auto"/>
            <w:vAlign w:val="center"/>
            <w:hideMark/>
          </w:tcPr>
          <w:p w14:paraId="6B9CB489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5C6ED8B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B93DE69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br/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22C85829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E10432" w14:paraId="5188810F" w14:textId="77777777" w:rsidTr="00E10432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1DC7187F" w14:textId="77777777" w:rsidR="00E10432" w:rsidRDefault="00E10432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7A037DCD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12,503,860.5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2FE0E1E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12,793,671.4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17707D6D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102.3%</w:t>
            </w:r>
          </w:p>
        </w:tc>
      </w:tr>
      <w:tr w:rsidR="00E10432" w14:paraId="668833C5" w14:textId="77777777" w:rsidTr="00E10432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7CCBFAB5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85DDEED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7,157,012.0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43DF69A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7,638,596.4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582A36E1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106.7%</w:t>
            </w:r>
          </w:p>
        </w:tc>
      </w:tr>
      <w:tr w:rsidR="00E10432" w14:paraId="0D5753C9" w14:textId="77777777" w:rsidTr="00E10432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12370B33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4B555F4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72,953.3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BAF54D9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79,722.7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3056CF31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109.3%</w:t>
            </w:r>
          </w:p>
        </w:tc>
      </w:tr>
      <w:tr w:rsidR="00E10432" w14:paraId="4EC3C2E2" w14:textId="77777777" w:rsidTr="00E10432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6A35F659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338943E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57,274.5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1C9BD52F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114,840.9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214E2A91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200.5%</w:t>
            </w:r>
          </w:p>
        </w:tc>
      </w:tr>
      <w:tr w:rsidR="00E10432" w14:paraId="534203CB" w14:textId="77777777" w:rsidTr="00E10432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47183982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7630F2A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5,216,620.7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7E49770D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4,960,511.5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636921C9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95.1%</w:t>
            </w:r>
          </w:p>
        </w:tc>
      </w:tr>
      <w:tr w:rsidR="00E10432" w14:paraId="73CEBE46" w14:textId="77777777" w:rsidTr="00E10432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2698728A" w14:textId="77777777" w:rsidR="00E10432" w:rsidRDefault="00E10432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16EF246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11,947,413.0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8512E9C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11,206,046.4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3D7605F1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93.8%</w:t>
            </w:r>
          </w:p>
        </w:tc>
      </w:tr>
      <w:tr w:rsidR="00E10432" w14:paraId="5C4BF16A" w14:textId="77777777" w:rsidTr="00E10432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5D666775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C9BE03A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9,415,373.6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42F5DA0D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8,777,611.4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6CBAFB6A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93.2%</w:t>
            </w:r>
          </w:p>
        </w:tc>
      </w:tr>
      <w:tr w:rsidR="00E10432" w14:paraId="08535DD3" w14:textId="77777777" w:rsidTr="00E10432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68795C87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2DF8BE6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1,534,169.8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506BCC4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1,479,156.8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0E846640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96.4%</w:t>
            </w:r>
          </w:p>
        </w:tc>
      </w:tr>
      <w:tr w:rsidR="00E10432" w14:paraId="0CFCB307" w14:textId="77777777" w:rsidTr="00E10432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01432074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740A97B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215,158.2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56B29505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235,633.6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1C0BD525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109.5%</w:t>
            </w:r>
          </w:p>
        </w:tc>
      </w:tr>
      <w:tr w:rsidR="00E10432" w14:paraId="63433AB4" w14:textId="77777777" w:rsidTr="00E10432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556CCB10" w14:textId="77777777" w:rsidR="00E10432" w:rsidRDefault="00E10432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9B71581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782,711.4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FC0D6E6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713,644.6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7400F1A5" w14:textId="77777777" w:rsidR="00E10432" w:rsidRDefault="00E10432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91.2%</w:t>
            </w:r>
          </w:p>
        </w:tc>
      </w:tr>
      <w:tr w:rsidR="00E10432" w14:paraId="7F5B7328" w14:textId="77777777" w:rsidTr="00E10432">
        <w:trPr>
          <w:trHeight w:val="288"/>
        </w:trPr>
        <w:tc>
          <w:tcPr>
            <w:tcW w:w="2694" w:type="pct"/>
            <w:shd w:val="clear" w:color="auto" w:fill="auto"/>
            <w:vAlign w:val="center"/>
            <w:hideMark/>
          </w:tcPr>
          <w:p w14:paraId="252FFDA9" w14:textId="77777777" w:rsidR="00E10432" w:rsidRDefault="00E10432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D22EFF2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556,447.5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05BEF8F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1,587,625.0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14:paraId="6201EFDA" w14:textId="77777777" w:rsidR="00E10432" w:rsidRDefault="00E1043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285.3%</w:t>
            </w:r>
          </w:p>
        </w:tc>
      </w:tr>
    </w:tbl>
    <w:p w14:paraId="0E37BBDA" w14:textId="77777777"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D71170">
      <w:footerReference w:type="even" r:id="rId8"/>
      <w:footerReference w:type="default" r:id="rId9"/>
      <w:pgSz w:w="12240" w:h="15840"/>
      <w:pgMar w:top="720" w:right="72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34FAB" w14:textId="77777777" w:rsidR="009C6D48" w:rsidRDefault="009C6D48">
      <w:r>
        <w:separator/>
      </w:r>
    </w:p>
  </w:endnote>
  <w:endnote w:type="continuationSeparator" w:id="0">
    <w:p w14:paraId="36A79447" w14:textId="77777777" w:rsidR="009C6D48" w:rsidRDefault="009C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7D38" w14:textId="77777777"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7056" w14:textId="77777777"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BBD0" w14:textId="642BA8C3"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56F4">
      <w:rPr>
        <w:noProof/>
      </w:rPr>
      <w:t>3</w:t>
    </w:r>
    <w:r>
      <w:rPr>
        <w:noProof/>
      </w:rPr>
      <w:fldChar w:fldCharType="end"/>
    </w:r>
  </w:p>
  <w:p w14:paraId="69DCE317" w14:textId="77777777"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B7AE6" w14:textId="77777777" w:rsidR="009C6D48" w:rsidRDefault="009C6D48">
      <w:r>
        <w:separator/>
      </w:r>
    </w:p>
  </w:footnote>
  <w:footnote w:type="continuationSeparator" w:id="0">
    <w:p w14:paraId="08DC02E7" w14:textId="77777777" w:rsidR="009C6D48" w:rsidRDefault="009C6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1196"/>
    <w:rsid w:val="00002D7D"/>
    <w:rsid w:val="00012D23"/>
    <w:rsid w:val="00027F05"/>
    <w:rsid w:val="00040F37"/>
    <w:rsid w:val="00051D0D"/>
    <w:rsid w:val="0005206E"/>
    <w:rsid w:val="00064ADD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2D08"/>
    <w:rsid w:val="00174103"/>
    <w:rsid w:val="00177D45"/>
    <w:rsid w:val="00185F45"/>
    <w:rsid w:val="0018751E"/>
    <w:rsid w:val="001A5533"/>
    <w:rsid w:val="001B3125"/>
    <w:rsid w:val="001B62EE"/>
    <w:rsid w:val="001B75A1"/>
    <w:rsid w:val="001C64D6"/>
    <w:rsid w:val="001D152F"/>
    <w:rsid w:val="001D45AF"/>
    <w:rsid w:val="001E125A"/>
    <w:rsid w:val="001E6F23"/>
    <w:rsid w:val="001E71DA"/>
    <w:rsid w:val="001F4EAF"/>
    <w:rsid w:val="001F56F4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840"/>
    <w:rsid w:val="00374C38"/>
    <w:rsid w:val="003764CC"/>
    <w:rsid w:val="00381BDD"/>
    <w:rsid w:val="00383F86"/>
    <w:rsid w:val="00390A55"/>
    <w:rsid w:val="00394B5D"/>
    <w:rsid w:val="003A4615"/>
    <w:rsid w:val="003C4559"/>
    <w:rsid w:val="003C49A9"/>
    <w:rsid w:val="003D0151"/>
    <w:rsid w:val="003D6681"/>
    <w:rsid w:val="003E52D2"/>
    <w:rsid w:val="003F07EC"/>
    <w:rsid w:val="003F0D9B"/>
    <w:rsid w:val="003F0FE5"/>
    <w:rsid w:val="00400B84"/>
    <w:rsid w:val="00407E7B"/>
    <w:rsid w:val="00413797"/>
    <w:rsid w:val="004250C8"/>
    <w:rsid w:val="00431C48"/>
    <w:rsid w:val="00434D4A"/>
    <w:rsid w:val="0044358D"/>
    <w:rsid w:val="0044494C"/>
    <w:rsid w:val="004552CA"/>
    <w:rsid w:val="00460453"/>
    <w:rsid w:val="004651CC"/>
    <w:rsid w:val="004654B7"/>
    <w:rsid w:val="0047215B"/>
    <w:rsid w:val="0047670D"/>
    <w:rsid w:val="0047735E"/>
    <w:rsid w:val="004828F2"/>
    <w:rsid w:val="0048644F"/>
    <w:rsid w:val="004B2B62"/>
    <w:rsid w:val="004C4F17"/>
    <w:rsid w:val="004D1032"/>
    <w:rsid w:val="004E7B74"/>
    <w:rsid w:val="004F3D40"/>
    <w:rsid w:val="00511CEC"/>
    <w:rsid w:val="005316BC"/>
    <w:rsid w:val="0053556F"/>
    <w:rsid w:val="00545297"/>
    <w:rsid w:val="005531DE"/>
    <w:rsid w:val="00564558"/>
    <w:rsid w:val="005702C8"/>
    <w:rsid w:val="0057122F"/>
    <w:rsid w:val="00571979"/>
    <w:rsid w:val="005B0918"/>
    <w:rsid w:val="005B6FDA"/>
    <w:rsid w:val="005D77D7"/>
    <w:rsid w:val="005E4481"/>
    <w:rsid w:val="005F6E87"/>
    <w:rsid w:val="005F6FEF"/>
    <w:rsid w:val="0060447B"/>
    <w:rsid w:val="006142D5"/>
    <w:rsid w:val="0062284F"/>
    <w:rsid w:val="00623050"/>
    <w:rsid w:val="00624E0B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B79C8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8E1C2A"/>
    <w:rsid w:val="00935EC4"/>
    <w:rsid w:val="00952990"/>
    <w:rsid w:val="00965823"/>
    <w:rsid w:val="00986349"/>
    <w:rsid w:val="00996EFF"/>
    <w:rsid w:val="009A3439"/>
    <w:rsid w:val="009A75DB"/>
    <w:rsid w:val="009A7F97"/>
    <w:rsid w:val="009B0108"/>
    <w:rsid w:val="009B7250"/>
    <w:rsid w:val="009C4A57"/>
    <w:rsid w:val="009C6D48"/>
    <w:rsid w:val="009D451A"/>
    <w:rsid w:val="009E2932"/>
    <w:rsid w:val="00A233FA"/>
    <w:rsid w:val="00A30550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B4A5D"/>
    <w:rsid w:val="00AC2CCB"/>
    <w:rsid w:val="00AC5AAF"/>
    <w:rsid w:val="00B00200"/>
    <w:rsid w:val="00B02D73"/>
    <w:rsid w:val="00B06075"/>
    <w:rsid w:val="00B06C33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DD1"/>
    <w:rsid w:val="00C278ED"/>
    <w:rsid w:val="00C30BAA"/>
    <w:rsid w:val="00C34AB5"/>
    <w:rsid w:val="00C44823"/>
    <w:rsid w:val="00C46EF8"/>
    <w:rsid w:val="00C510D5"/>
    <w:rsid w:val="00C5250A"/>
    <w:rsid w:val="00C57C99"/>
    <w:rsid w:val="00C636AC"/>
    <w:rsid w:val="00C71573"/>
    <w:rsid w:val="00C92323"/>
    <w:rsid w:val="00C94226"/>
    <w:rsid w:val="00C94613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68F6"/>
    <w:rsid w:val="00D67212"/>
    <w:rsid w:val="00D71170"/>
    <w:rsid w:val="00D7710C"/>
    <w:rsid w:val="00D94D25"/>
    <w:rsid w:val="00D97448"/>
    <w:rsid w:val="00DB3985"/>
    <w:rsid w:val="00DB7063"/>
    <w:rsid w:val="00DB73BD"/>
    <w:rsid w:val="00DC01FE"/>
    <w:rsid w:val="00DC5C16"/>
    <w:rsid w:val="00DD1B16"/>
    <w:rsid w:val="00DD24EA"/>
    <w:rsid w:val="00DE4836"/>
    <w:rsid w:val="00DF1CEF"/>
    <w:rsid w:val="00DF4D8E"/>
    <w:rsid w:val="00E01E19"/>
    <w:rsid w:val="00E0308E"/>
    <w:rsid w:val="00E10432"/>
    <w:rsid w:val="00E20F07"/>
    <w:rsid w:val="00E36BAE"/>
    <w:rsid w:val="00E3783E"/>
    <w:rsid w:val="00E412D2"/>
    <w:rsid w:val="00E45F66"/>
    <w:rsid w:val="00E5431E"/>
    <w:rsid w:val="00E54D92"/>
    <w:rsid w:val="00E57DEA"/>
    <w:rsid w:val="00E679EE"/>
    <w:rsid w:val="00E67F58"/>
    <w:rsid w:val="00E7329E"/>
    <w:rsid w:val="00E77271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3336"/>
    <w:rsid w:val="00F2735D"/>
    <w:rsid w:val="00F6396D"/>
    <w:rsid w:val="00F64FB6"/>
    <w:rsid w:val="00F67EBE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E39F4"/>
    <w:rsid w:val="00FF2843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AF19F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9FE66-E2ED-4C14-B738-544B2060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4</cp:revision>
  <cp:lastPrinted>2020-10-30T08:52:00Z</cp:lastPrinted>
  <dcterms:created xsi:type="dcterms:W3CDTF">2020-10-25T16:31:00Z</dcterms:created>
  <dcterms:modified xsi:type="dcterms:W3CDTF">2020-10-30T10:22:00Z</dcterms:modified>
</cp:coreProperties>
</file>